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6069" w:rsidRDefault="002A6069">
      <w:pPr>
        <w:tabs>
          <w:tab w:val="center" w:pos="4680"/>
          <w:tab w:val="right" w:pos="9360"/>
        </w:tabs>
        <w:spacing w:after="0" w:line="240" w:lineRule="auto"/>
      </w:pPr>
    </w:p>
    <w:tbl>
      <w:tblPr>
        <w:tblStyle w:val="a"/>
        <w:tblW w:w="10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6045"/>
        <w:gridCol w:w="1425"/>
        <w:gridCol w:w="1440"/>
        <w:gridCol w:w="480"/>
      </w:tblGrid>
      <w:tr w:rsidR="002A6069">
        <w:trPr>
          <w:trHeight w:val="720"/>
        </w:trPr>
        <w:tc>
          <w:tcPr>
            <w:tcW w:w="1290" w:type="dxa"/>
            <w:vAlign w:val="center"/>
          </w:tcPr>
          <w:p w:rsidR="002A6069" w:rsidRDefault="00925684">
            <w:pPr>
              <w:jc w:val="center"/>
            </w:pPr>
            <w:r>
              <w:rPr>
                <w:b/>
              </w:rPr>
              <w:t>Meeting</w:t>
            </w:r>
          </w:p>
        </w:tc>
        <w:tc>
          <w:tcPr>
            <w:tcW w:w="6045" w:type="dxa"/>
            <w:vAlign w:val="center"/>
          </w:tcPr>
          <w:p w:rsidR="002A6069" w:rsidRDefault="00925684">
            <w:pPr>
              <w:jc w:val="center"/>
            </w:pPr>
            <w:r>
              <w:rPr>
                <w:b/>
              </w:rPr>
              <w:t>Action Step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b/>
              </w:rPr>
              <w:t>Person Responsible</w:t>
            </w:r>
          </w:p>
        </w:tc>
        <w:tc>
          <w:tcPr>
            <w:tcW w:w="1440" w:type="dxa"/>
            <w:vAlign w:val="center"/>
          </w:tcPr>
          <w:p w:rsidR="002A6069" w:rsidRDefault="00925684">
            <w:pPr>
              <w:jc w:val="center"/>
            </w:pPr>
            <w:r>
              <w:rPr>
                <w:b/>
              </w:rPr>
              <w:t>Timeline /</w:t>
            </w:r>
          </w:p>
          <w:p w:rsidR="002A6069" w:rsidRDefault="00925684">
            <w:pPr>
              <w:jc w:val="center"/>
            </w:pPr>
            <w:r>
              <w:rPr>
                <w:b/>
              </w:rPr>
              <w:t>Date Due</w:t>
            </w:r>
          </w:p>
        </w:tc>
        <w:tc>
          <w:tcPr>
            <w:tcW w:w="480" w:type="dxa"/>
            <w:vAlign w:val="center"/>
          </w:tcPr>
          <w:p w:rsidR="002A6069" w:rsidRDefault="00925684">
            <w:r>
              <w:rPr>
                <w:b/>
              </w:rPr>
              <w:t xml:space="preserve"> x</w:t>
            </w:r>
          </w:p>
        </w:tc>
      </w:tr>
      <w:tr w:rsidR="002A6069">
        <w:trPr>
          <w:trHeight w:val="340"/>
        </w:trPr>
        <w:tc>
          <w:tcPr>
            <w:tcW w:w="10200" w:type="dxa"/>
            <w:gridSpan w:val="4"/>
            <w:shd w:val="clear" w:color="auto" w:fill="BFBFB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shd w:val="clear" w:color="auto" w:fill="BFBFBF"/>
            <w:vAlign w:val="center"/>
          </w:tcPr>
          <w:p w:rsidR="002A6069" w:rsidRDefault="002A6069">
            <w:pPr>
              <w:widowControl w:val="0"/>
              <w:spacing w:line="276" w:lineRule="auto"/>
            </w:pPr>
          </w:p>
        </w:tc>
      </w:tr>
      <w:tr w:rsidR="009417D2">
        <w:trPr>
          <w:trHeight w:val="720"/>
        </w:trPr>
        <w:tc>
          <w:tcPr>
            <w:tcW w:w="1290" w:type="dxa"/>
            <w:vMerge w:val="restart"/>
            <w:shd w:val="clear" w:color="auto" w:fill="FFFFFF"/>
            <w:vAlign w:val="center"/>
          </w:tcPr>
          <w:p w:rsidR="009417D2" w:rsidRDefault="009417D2">
            <w:pPr>
              <w:jc w:val="center"/>
            </w:pPr>
          </w:p>
          <w:p w:rsidR="009417D2" w:rsidRDefault="009417D2">
            <w:pPr>
              <w:jc w:val="center"/>
            </w:pPr>
            <w:r>
              <w:rPr>
                <w:sz w:val="20"/>
                <w:szCs w:val="20"/>
              </w:rPr>
              <w:t>Pre-SBST Request</w:t>
            </w:r>
          </w:p>
        </w:tc>
        <w:tc>
          <w:tcPr>
            <w:tcW w:w="6045" w:type="dxa"/>
            <w:shd w:val="clear" w:color="auto" w:fill="FFFFFF"/>
            <w:vAlign w:val="center"/>
          </w:tcPr>
          <w:p w:rsidR="009417D2" w:rsidRDefault="009417D2">
            <w:r>
              <w:rPr>
                <w:sz w:val="20"/>
                <w:szCs w:val="20"/>
              </w:rPr>
              <w:t xml:space="preserve">Brainstorm and problem solve with your school psychologist and/or school social worker to identify and apply initial approaches for reducing behavioral challenges.  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  <w:r>
              <w:rPr>
                <w:sz w:val="20"/>
                <w:szCs w:val="20"/>
              </w:rPr>
              <w:t>Teacher, Social Worker, School Psychologist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  <w:r>
              <w:rPr>
                <w:sz w:val="20"/>
                <w:szCs w:val="20"/>
              </w:rPr>
              <w:t>Prior to SBST Request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</w:p>
        </w:tc>
      </w:tr>
      <w:tr w:rsidR="009417D2">
        <w:trPr>
          <w:trHeight w:val="720"/>
        </w:trPr>
        <w:tc>
          <w:tcPr>
            <w:tcW w:w="1290" w:type="dxa"/>
            <w:vMerge/>
            <w:shd w:val="clear" w:color="auto" w:fill="FFFFFF"/>
            <w:vAlign w:val="center"/>
          </w:tcPr>
          <w:p w:rsidR="009417D2" w:rsidRDefault="009417D2">
            <w:pPr>
              <w:jc w:val="center"/>
            </w:pPr>
          </w:p>
        </w:tc>
        <w:tc>
          <w:tcPr>
            <w:tcW w:w="6045" w:type="dxa"/>
            <w:shd w:val="clear" w:color="auto" w:fill="FFFFFF"/>
            <w:vAlign w:val="center"/>
          </w:tcPr>
          <w:p w:rsidR="009417D2" w:rsidRDefault="009417D2">
            <w:r>
              <w:rPr>
                <w:sz w:val="20"/>
                <w:szCs w:val="20"/>
              </w:rPr>
              <w:t>Request a case liaison to provide support with the following Pre-SBST Request tasks.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  <w:r>
              <w:rPr>
                <w:sz w:val="20"/>
                <w:szCs w:val="20"/>
              </w:rPr>
              <w:t>Teacher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</w:p>
        </w:tc>
      </w:tr>
      <w:tr w:rsidR="009417D2">
        <w:trPr>
          <w:trHeight w:val="720"/>
        </w:trPr>
        <w:tc>
          <w:tcPr>
            <w:tcW w:w="1290" w:type="dxa"/>
            <w:vMerge/>
            <w:shd w:val="clear" w:color="auto" w:fill="FFFFFF"/>
            <w:vAlign w:val="center"/>
          </w:tcPr>
          <w:p w:rsidR="009417D2" w:rsidRDefault="009417D2">
            <w:pPr>
              <w:jc w:val="center"/>
            </w:pPr>
          </w:p>
        </w:tc>
        <w:tc>
          <w:tcPr>
            <w:tcW w:w="6045" w:type="dxa"/>
            <w:shd w:val="clear" w:color="auto" w:fill="FFFFFF"/>
            <w:vAlign w:val="center"/>
          </w:tcPr>
          <w:p w:rsidR="009417D2" w:rsidRDefault="009417D2">
            <w:r>
              <w:rPr>
                <w:sz w:val="20"/>
                <w:szCs w:val="20"/>
              </w:rPr>
              <w:t xml:space="preserve">Complete the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Daily Behavior Tracking Sheet</w:t>
              </w:r>
            </w:hyperlink>
            <w:r>
              <w:rPr>
                <w:sz w:val="20"/>
                <w:szCs w:val="20"/>
              </w:rPr>
              <w:t xml:space="preserve"> for 10 consecutive days during which the student is in attendance.  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  <w:r>
              <w:rPr>
                <w:sz w:val="20"/>
                <w:szCs w:val="20"/>
              </w:rPr>
              <w:t>Teacher, with support from liaison as requested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</w:p>
        </w:tc>
      </w:tr>
      <w:tr w:rsidR="009417D2">
        <w:trPr>
          <w:trHeight w:val="720"/>
        </w:trPr>
        <w:tc>
          <w:tcPr>
            <w:tcW w:w="1290" w:type="dxa"/>
            <w:vMerge/>
            <w:shd w:val="clear" w:color="auto" w:fill="FFFFFF"/>
            <w:vAlign w:val="center"/>
          </w:tcPr>
          <w:p w:rsidR="009417D2" w:rsidRDefault="009417D2">
            <w:pPr>
              <w:jc w:val="center"/>
            </w:pPr>
          </w:p>
        </w:tc>
        <w:tc>
          <w:tcPr>
            <w:tcW w:w="6045" w:type="dxa"/>
            <w:shd w:val="clear" w:color="auto" w:fill="FFFFFF"/>
            <w:vAlign w:val="center"/>
          </w:tcPr>
          <w:p w:rsidR="009417D2" w:rsidRDefault="009417D2">
            <w:r>
              <w:rPr>
                <w:sz w:val="20"/>
                <w:szCs w:val="20"/>
              </w:rPr>
              <w:t xml:space="preserve">Complete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Thinking Skills Reference Sheet</w:t>
              </w:r>
            </w:hyperlink>
            <w:r>
              <w:rPr>
                <w:sz w:val="20"/>
                <w:szCs w:val="20"/>
              </w:rPr>
              <w:t xml:space="preserve"> to identify student’s lagging skills.</w:t>
            </w:r>
          </w:p>
          <w:p w:rsidR="009417D2" w:rsidRDefault="009417D2"/>
        </w:tc>
        <w:tc>
          <w:tcPr>
            <w:tcW w:w="1425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  <w:r>
              <w:rPr>
                <w:sz w:val="20"/>
                <w:szCs w:val="20"/>
              </w:rPr>
              <w:t>Person making referral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9417D2" w:rsidRDefault="009417D2">
            <w:pPr>
              <w:jc w:val="center"/>
            </w:pPr>
          </w:p>
        </w:tc>
      </w:tr>
      <w:tr w:rsidR="002A6069">
        <w:trPr>
          <w:trHeight w:val="360"/>
        </w:trPr>
        <w:tc>
          <w:tcPr>
            <w:tcW w:w="10200" w:type="dxa"/>
            <w:gridSpan w:val="4"/>
            <w:shd w:val="clear" w:color="auto" w:fill="AEAAA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shd w:val="clear" w:color="auto" w:fill="AEAAAA"/>
            <w:vAlign w:val="center"/>
          </w:tcPr>
          <w:p w:rsidR="002A6069" w:rsidRDefault="002A6069">
            <w:pPr>
              <w:widowControl w:val="0"/>
              <w:spacing w:line="276" w:lineRule="auto"/>
            </w:pPr>
          </w:p>
        </w:tc>
      </w:tr>
      <w:tr w:rsidR="002A6069">
        <w:trPr>
          <w:trHeight w:val="820"/>
        </w:trPr>
        <w:tc>
          <w:tcPr>
            <w:tcW w:w="1290" w:type="dxa"/>
            <w:vMerge w:val="restart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SBST Meeting</w:t>
            </w:r>
          </w:p>
          <w:p w:rsidR="002A6069" w:rsidRDefault="002A6069">
            <w:pPr>
              <w:jc w:val="center"/>
            </w:pPr>
          </w:p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Date:</w:t>
            </w:r>
          </w:p>
          <w:p w:rsidR="002A6069" w:rsidRDefault="002A6069">
            <w:pPr>
              <w:jc w:val="center"/>
            </w:pPr>
          </w:p>
          <w:p w:rsidR="002A6069" w:rsidRDefault="002A6069">
            <w:pPr>
              <w:jc w:val="center"/>
            </w:pPr>
          </w:p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Complete these portions of the ISP-B during this meeting.</w:t>
            </w: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 xml:space="preserve">Identify note taker (a clinician) and facilitator for this meeting.  Note taker will open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ISP-B template</w:t>
              </w:r>
            </w:hyperlink>
            <w:r>
              <w:rPr>
                <w:sz w:val="20"/>
                <w:szCs w:val="20"/>
              </w:rPr>
              <w:t xml:space="preserve"> and input inform</w:t>
            </w:r>
            <w:r>
              <w:rPr>
                <w:sz w:val="20"/>
                <w:szCs w:val="20"/>
              </w:rPr>
              <w:t xml:space="preserve">ation throughout this meeting.  Facilitator will use this checklist to keep the team on track.  Team may wish to consider using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ISP-B Glossary</w:t>
              </w:r>
            </w:hyperlink>
            <w:r>
              <w:rPr>
                <w:sz w:val="20"/>
                <w:szCs w:val="20"/>
              </w:rPr>
              <w:t xml:space="preserve"> as a reference. 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106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Describe the SBST Referral Concern (Reminder: ISP-B is NOT a confidential document).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Note Taker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6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student strengths.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54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Target Behavior(s) (name in concrete terms).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6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Operationalize the target behavior(s) (in concrete, measurable, observable terms).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suspected behavioral function(s).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54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antecedents or triggers for the identified target behavior.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54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preventative strategies (strategies that reduce the likelihood that a student will be triggered and engage in target behaviors) and adults responsible for implementing.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54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lagging skills that will need to be addressed in order to he</w:t>
            </w:r>
            <w:r>
              <w:rPr>
                <w:sz w:val="20"/>
                <w:szCs w:val="20"/>
              </w:rPr>
              <w:t xml:space="preserve">lp the student successfully engage in the desired replacement behavior using the completed </w:t>
            </w:r>
            <w:r>
              <w:rPr>
                <w:i/>
                <w:sz w:val="20"/>
                <w:szCs w:val="20"/>
              </w:rPr>
              <w:t>Thinking Skills Reference Sheet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54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 xml:space="preserve">Identify intervention strategies (strategies for teaching student the skills and strategies he or she will need to </w:t>
            </w:r>
            <w:r>
              <w:rPr>
                <w:sz w:val="20"/>
                <w:szCs w:val="20"/>
              </w:rPr>
              <w:t>be successful in self-regulation behaviors) and adults responsible for implementing.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desired replacement behavior.  The replacement behavior is something the student can do with his or her current skill set instead of the current behavior</w:t>
            </w:r>
            <w:r>
              <w:rPr>
                <w:sz w:val="20"/>
                <w:szCs w:val="20"/>
              </w:rPr>
              <w:t>.  Replacement behavior must match the suspected function of the target behavior.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what adult responses will be used to reinforce student use of replacement behavior(s).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maintaining consequences (what immediately follows target behavior).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de-escalation / response strategies adults should use when target behavior does occur.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 xml:space="preserve">Note presence (plus completion date and location) or absence of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Individual Crisis Management Plan (ICMP)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detailed plan for home-school collaboration and communication.</w:t>
            </w:r>
          </w:p>
        </w:tc>
        <w:tc>
          <w:tcPr>
            <w:tcW w:w="1425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In order to track frequency / duration of target behavi</w:t>
            </w:r>
            <w:r>
              <w:rPr>
                <w:sz w:val="20"/>
                <w:szCs w:val="20"/>
              </w:rPr>
              <w:t>or and replacement behavior, identify when data will be collected (e.g., during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period, during math instruction, etc.), and who will be responsible for collecting that data.</w:t>
            </w:r>
          </w:p>
        </w:tc>
        <w:tc>
          <w:tcPr>
            <w:tcW w:w="1425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data collection form to be used for the above purpose.  Keep a blank copy of this form on file, and name it within ISP-B (toward the end of ISP-B template, under “Data Collection Plan”).</w:t>
            </w:r>
          </w:p>
        </w:tc>
        <w:tc>
          <w:tcPr>
            <w:tcW w:w="1425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 xml:space="preserve">E-mail a copy of of the ISP-B to SBST members. 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Note Ta</w:t>
            </w:r>
            <w:r>
              <w:rPr>
                <w:sz w:val="20"/>
                <w:szCs w:val="20"/>
              </w:rPr>
              <w:t>ker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Schedule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Team Meeting Date for four to six weeks after plan will begin.  This will be the “Date of First Review.”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400"/>
        </w:trPr>
        <w:tc>
          <w:tcPr>
            <w:tcW w:w="10680" w:type="dxa"/>
            <w:gridSpan w:val="5"/>
            <w:shd w:val="clear" w:color="auto" w:fill="CCCCCC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 w:val="restart"/>
            <w:vAlign w:val="center"/>
          </w:tcPr>
          <w:p w:rsidR="002A6069" w:rsidRDefault="00925684">
            <w:pPr>
              <w:jc w:val="center"/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Follow Up Tasks to be Completed Between 1st and 2nd Meetings</w:t>
            </w:r>
          </w:p>
        </w:tc>
        <w:tc>
          <w:tcPr>
            <w:tcW w:w="6045" w:type="dxa"/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Discuss the ISP-B with all adults involved with the student (e.g., principal, special area teachers, paraprofessionals) who were not able to attend 1st SBST meeting.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Implement plan with consistency.  Collect data for four to six weeks using the data collection form identified at the first SBST meeting.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90" w:type="dxa"/>
            <w:vMerge/>
            <w:tcBorders>
              <w:bottom w:val="single" w:sz="8" w:space="0" w:color="000000"/>
            </w:tcBorders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04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Just prior to 2nd SBST meeting, compile data using a method that will easily transfer to a visual summary</w:t>
            </w:r>
            <w:r>
              <w:rPr>
                <w:sz w:val="20"/>
                <w:szCs w:val="20"/>
              </w:rPr>
              <w:t xml:space="preserve"> of frequency / duration of target and replacement behavior.  This will serve as your Visual Data </w:t>
            </w:r>
            <w:r>
              <w:rPr>
                <w:sz w:val="20"/>
                <w:szCs w:val="20"/>
              </w:rPr>
              <w:lastRenderedPageBreak/>
              <w:t>Summary, and can be attached to the document developed at upcoming (2nd) SBST Meeting.  Please reach out to your behavior consultant for assistance with choos</w:t>
            </w:r>
            <w:r>
              <w:rPr>
                <w:sz w:val="20"/>
                <w:szCs w:val="20"/>
              </w:rPr>
              <w:t>ing a format (e.g.,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 xml:space="preserve"> the customizable Progress Monitoring Spreadsheet</w:t>
              </w:r>
            </w:hyperlink>
            <w:r>
              <w:rPr>
                <w:sz w:val="20"/>
                <w:szCs w:val="20"/>
              </w:rPr>
              <w:t>) as needed.</w:t>
            </w:r>
          </w:p>
          <w:p w:rsidR="002A6069" w:rsidRDefault="002A6069"/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</w:tr>
    </w:tbl>
    <w:p w:rsidR="002A6069" w:rsidRDefault="002A6069">
      <w:pPr>
        <w:widowControl w:val="0"/>
        <w:spacing w:after="0" w:line="276" w:lineRule="auto"/>
      </w:pPr>
    </w:p>
    <w:tbl>
      <w:tblPr>
        <w:tblStyle w:val="a0"/>
        <w:tblW w:w="10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6120"/>
        <w:gridCol w:w="1440"/>
        <w:gridCol w:w="1380"/>
        <w:gridCol w:w="480"/>
      </w:tblGrid>
      <w:tr w:rsidR="002A6069">
        <w:trPr>
          <w:trHeight w:val="420"/>
        </w:trPr>
        <w:tc>
          <w:tcPr>
            <w:tcW w:w="10680" w:type="dxa"/>
            <w:gridSpan w:val="5"/>
            <w:shd w:val="clear" w:color="auto" w:fill="B7B7B7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60" w:type="dxa"/>
            <w:vMerge w:val="restart"/>
            <w:vAlign w:val="center"/>
          </w:tcPr>
          <w:p w:rsidR="002A6069" w:rsidRDefault="002A6069">
            <w:pPr>
              <w:jc w:val="center"/>
            </w:pPr>
          </w:p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SBST Meeting</w:t>
            </w:r>
          </w:p>
          <w:p w:rsidR="002A6069" w:rsidRDefault="002A6069">
            <w:pPr>
              <w:jc w:val="center"/>
            </w:pPr>
          </w:p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Complete District Progress Monitoring Report during this meeting.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 xml:space="preserve">Identify note taker and facilitator for this meeting.  Note taker will open the current ISP-B and one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SCSD</w:t>
              </w:r>
            </w:hyperlink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 xml:space="preserve"> Progress Monitoring </w:t>
              </w:r>
            </w:hyperlink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Report</w:t>
              </w:r>
            </w:hyperlink>
            <w:r>
              <w:rPr>
                <w:sz w:val="20"/>
                <w:szCs w:val="20"/>
              </w:rPr>
              <w:t xml:space="preserve"> for each identified target behavior and input information throughout this meeting.  Facilitator will use this checklist to keep the team on track. 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6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Attach your Visual Data Summary (i.e., your visual summary of frequency / duration of target and replacement behavior) to the District Progress Monitoring Report(s) (or paste within).</w:t>
            </w:r>
            <w:r>
              <w:t xml:space="preserve">  </w:t>
            </w:r>
            <w:r>
              <w:rPr>
                <w:sz w:val="20"/>
                <w:szCs w:val="20"/>
              </w:rPr>
              <w:t>Review and analyze trends (e.g., times of day, locations, other factors</w:t>
            </w:r>
            <w:r>
              <w:rPr>
                <w:sz w:val="20"/>
                <w:szCs w:val="20"/>
              </w:rPr>
              <w:t>) to determine impact of ISP-B.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Note Taker, Team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6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 xml:space="preserve">If current ISP-B seems to be having the desired impact on target behavior(s), continue implementation of plan.  </w:t>
            </w:r>
          </w:p>
        </w:tc>
        <w:tc>
          <w:tcPr>
            <w:tcW w:w="1440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6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 xml:space="preserve">If applicable, identify possible factors contributing to the maintenance of the target behavior(s) and any possible barriers to the success of the plan.  </w:t>
            </w:r>
          </w:p>
        </w:tc>
        <w:tc>
          <w:tcPr>
            <w:tcW w:w="1440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6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plans for addressing each possible barrier to success.   Make these revisions withi</w:t>
            </w:r>
            <w:r>
              <w:rPr>
                <w:sz w:val="20"/>
                <w:szCs w:val="20"/>
              </w:rPr>
              <w:t>n the ISP-B itself, as applicable.  Ensure that today’s date is noted at the top of the first page of the plan as the ISP-B Revision Date.</w:t>
            </w:r>
          </w:p>
        </w:tc>
        <w:tc>
          <w:tcPr>
            <w:tcW w:w="1440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Team,</w:t>
            </w:r>
          </w:p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Note Taker</w:t>
            </w: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6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 xml:space="preserve">E-mail completed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SCSD Progress Monitoring Report</w:t>
              </w:r>
            </w:hyperlink>
            <w:r>
              <w:rPr>
                <w:sz w:val="20"/>
                <w:szCs w:val="20"/>
              </w:rPr>
              <w:t xml:space="preserve"> to SBST members.  Email a copy of the revised ISP-B to SBST members.</w:t>
            </w:r>
          </w:p>
        </w:tc>
        <w:tc>
          <w:tcPr>
            <w:tcW w:w="1440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Note Taker</w:t>
            </w: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6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Schedule next SBST meeting date for four to six weeks from now.</w:t>
            </w:r>
          </w:p>
        </w:tc>
        <w:tc>
          <w:tcPr>
            <w:tcW w:w="1440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380"/>
        </w:trPr>
        <w:tc>
          <w:tcPr>
            <w:tcW w:w="10200" w:type="dxa"/>
            <w:gridSpan w:val="4"/>
            <w:shd w:val="clear" w:color="auto" w:fill="BFBFB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480" w:type="dxa"/>
            <w:shd w:val="clear" w:color="auto" w:fill="BFBFBF"/>
            <w:vAlign w:val="center"/>
          </w:tcPr>
          <w:p w:rsidR="002A6069" w:rsidRDefault="002A6069">
            <w:pPr>
              <w:widowControl w:val="0"/>
              <w:spacing w:line="276" w:lineRule="auto"/>
            </w:pPr>
          </w:p>
        </w:tc>
      </w:tr>
      <w:tr w:rsidR="002A6069">
        <w:trPr>
          <w:trHeight w:val="720"/>
        </w:trPr>
        <w:tc>
          <w:tcPr>
            <w:tcW w:w="1260" w:type="dxa"/>
            <w:vMerge w:val="restart"/>
            <w:vAlign w:val="center"/>
          </w:tcPr>
          <w:p w:rsidR="002A6069" w:rsidRDefault="00925684">
            <w:r>
              <w:rPr>
                <w:sz w:val="20"/>
                <w:szCs w:val="20"/>
              </w:rPr>
              <w:t>Follow Up Tasks to be Completed Between 2nd and 3rd Meetings</w:t>
            </w: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Implement plan with consistency.  Collect data for four to six weeks using the data collection form identified at the first SBST meeting.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  <w:p w:rsidR="002A6069" w:rsidRDefault="002A6069">
            <w:pPr>
              <w:jc w:val="center"/>
            </w:pPr>
          </w:p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6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Discuss the boldly outlined parts of ISP-B with all adults involved with the student (e.g., principal, special area teachers, paraprofessionals) who were not able to attend 2nd SBST meeting.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2A6069" w:rsidRDefault="002A6069"/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6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Implement plan with consistency.  Collect data for four to s</w:t>
            </w:r>
            <w:r>
              <w:rPr>
                <w:sz w:val="20"/>
                <w:szCs w:val="20"/>
              </w:rPr>
              <w:t>ix weeks using the same data collection form identified previously.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2A6069" w:rsidRDefault="002A6069"/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60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Just prior to 3rd SBST meeting, compile data using the same method of visually summarizing the frequency / duration of target and replacement behavior.  This will serve as your Visual</w:t>
            </w:r>
            <w:r>
              <w:rPr>
                <w:sz w:val="20"/>
                <w:szCs w:val="20"/>
              </w:rPr>
              <w:t xml:space="preserve"> Data Summary.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38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A6069" w:rsidRDefault="002A6069"/>
        </w:tc>
        <w:tc>
          <w:tcPr>
            <w:tcW w:w="480" w:type="dxa"/>
            <w:vAlign w:val="center"/>
          </w:tcPr>
          <w:p w:rsidR="002A6069" w:rsidRDefault="002A6069">
            <w:pPr>
              <w:jc w:val="center"/>
            </w:pPr>
          </w:p>
        </w:tc>
      </w:tr>
    </w:tbl>
    <w:p w:rsidR="002A6069" w:rsidRDefault="002A6069"/>
    <w:tbl>
      <w:tblPr>
        <w:tblStyle w:val="a1"/>
        <w:tblW w:w="1070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6120"/>
        <w:gridCol w:w="1440"/>
        <w:gridCol w:w="1380"/>
        <w:gridCol w:w="510"/>
      </w:tblGrid>
      <w:tr w:rsidR="002A6069">
        <w:trPr>
          <w:trHeight w:val="340"/>
        </w:trPr>
        <w:tc>
          <w:tcPr>
            <w:tcW w:w="10195" w:type="dxa"/>
            <w:gridSpan w:val="4"/>
            <w:shd w:val="clear" w:color="auto" w:fill="BFBFBF"/>
            <w:vAlign w:val="center"/>
          </w:tcPr>
          <w:p w:rsidR="002A6069" w:rsidRDefault="002A6069">
            <w:pPr>
              <w:jc w:val="center"/>
            </w:pPr>
            <w:bookmarkStart w:id="1" w:name="_GoBack"/>
            <w:bookmarkEnd w:id="1"/>
          </w:p>
        </w:tc>
        <w:tc>
          <w:tcPr>
            <w:tcW w:w="510" w:type="dxa"/>
            <w:shd w:val="clear" w:color="auto" w:fill="BFBFBF"/>
            <w:vAlign w:val="center"/>
          </w:tcPr>
          <w:p w:rsidR="002A6069" w:rsidRDefault="002A6069">
            <w:pPr>
              <w:widowControl w:val="0"/>
              <w:spacing w:line="276" w:lineRule="auto"/>
            </w:pPr>
          </w:p>
        </w:tc>
      </w:tr>
      <w:tr w:rsidR="002A6069">
        <w:trPr>
          <w:trHeight w:val="720"/>
        </w:trPr>
        <w:tc>
          <w:tcPr>
            <w:tcW w:w="1255" w:type="dxa"/>
            <w:vMerge w:val="restart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SBST Meeting</w:t>
            </w:r>
          </w:p>
          <w:p w:rsidR="002A6069" w:rsidRDefault="002A6069">
            <w:pPr>
              <w:jc w:val="center"/>
            </w:pPr>
          </w:p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Complete Progress Monitoring Report at this meeting.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 xml:space="preserve">Identify note taker and facilitator for this meeting.  Note taker will open the current ISP-B and one 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SCSD</w:t>
              </w:r>
            </w:hyperlink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 xml:space="preserve"> Progress Monitoring Report</w:t>
              </w:r>
            </w:hyperlink>
            <w:r>
              <w:rPr>
                <w:sz w:val="20"/>
                <w:szCs w:val="20"/>
              </w:rPr>
              <w:t xml:space="preserve"> for each identified target behavior and input in</w:t>
            </w:r>
            <w:r>
              <w:rPr>
                <w:sz w:val="20"/>
                <w:szCs w:val="20"/>
              </w:rPr>
              <w:t xml:space="preserve">formation throughout this meeting.  Facilitator will use this checklist to keep the team on track. 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55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Attach your Visual Data Summary</w:t>
            </w:r>
            <w:r>
              <w:rPr>
                <w:sz w:val="20"/>
                <w:szCs w:val="20"/>
              </w:rPr>
              <w:t xml:space="preserve"> (i.e., your visual summary of frequency / duration of target and replacement behavior) to the District Progress Monitoring Report(s) (or paste within).</w:t>
            </w:r>
            <w:r>
              <w:t xml:space="preserve">  </w:t>
            </w:r>
            <w:r>
              <w:rPr>
                <w:sz w:val="20"/>
                <w:szCs w:val="20"/>
              </w:rPr>
              <w:t>Review and analyze trends (e.g., times of day, locations, other factors) to determine impact of ISP-B.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Note Taker, Team</w:t>
            </w: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51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55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 xml:space="preserve">If current ISP-B seems to be having the desired impact on target behavior(s), continue implementation of plan.  </w:t>
            </w:r>
          </w:p>
        </w:tc>
        <w:tc>
          <w:tcPr>
            <w:tcW w:w="1440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51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55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 xml:space="preserve">If applicable, identify possible factors contributing to the maintenance of the target behavior(s) and any possible barriers to the success of the plan.  </w:t>
            </w:r>
          </w:p>
        </w:tc>
        <w:tc>
          <w:tcPr>
            <w:tcW w:w="1440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51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55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Identify plans for addressing each possible barrier to success.   Make these revisions within the ISP-B itself, as applicable.  Ensure that today’s date is noted at the top of the first page of the plan as the ISP-B Revision Date.</w:t>
            </w:r>
          </w:p>
        </w:tc>
        <w:tc>
          <w:tcPr>
            <w:tcW w:w="1440" w:type="dxa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Team,</w:t>
            </w:r>
          </w:p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Note Taker</w:t>
            </w: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51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55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E-ma</w:t>
            </w:r>
            <w:r>
              <w:rPr>
                <w:sz w:val="20"/>
                <w:szCs w:val="20"/>
              </w:rPr>
              <w:t xml:space="preserve">il completed </w:t>
            </w: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SCSD Progress Monitoring Report</w:t>
              </w:r>
            </w:hyperlink>
            <w:r>
              <w:rPr>
                <w:sz w:val="20"/>
                <w:szCs w:val="20"/>
              </w:rPr>
              <w:t xml:space="preserve"> to SBST members.  Email a copy of the revised ISP-B to SBST members.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51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55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Discuss whether or not it seems warranted to move forward with FBA and BIP development.  If so, contact school psychologist to initiate request for evaluation.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51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55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Schedule next SBST meeting for four to six weeks from now.  If FBA consent is received befo</w:t>
            </w:r>
            <w:r>
              <w:rPr>
                <w:sz w:val="20"/>
                <w:szCs w:val="20"/>
              </w:rPr>
              <w:t>re that time, convene SBST sooner and use FBA &amp; BIP Development Checklist as a guide for that meeting.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51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400"/>
        </w:trPr>
        <w:tc>
          <w:tcPr>
            <w:tcW w:w="10705" w:type="dxa"/>
            <w:gridSpan w:val="5"/>
            <w:shd w:val="clear" w:color="auto" w:fill="B7B7B7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55" w:type="dxa"/>
            <w:vMerge w:val="restart"/>
            <w:vAlign w:val="center"/>
          </w:tcPr>
          <w:p w:rsidR="002A6069" w:rsidRDefault="00925684">
            <w:pPr>
              <w:jc w:val="center"/>
            </w:pPr>
            <w:r>
              <w:rPr>
                <w:sz w:val="20"/>
                <w:szCs w:val="20"/>
              </w:rPr>
              <w:t>Follow Up Tasks to be Completed After 3rd Meeting</w:t>
            </w:r>
          </w:p>
        </w:tc>
        <w:tc>
          <w:tcPr>
            <w:tcW w:w="6120" w:type="dxa"/>
            <w:vAlign w:val="center"/>
          </w:tcPr>
          <w:p w:rsidR="002A6069" w:rsidRDefault="00925684">
            <w:r>
              <w:rPr>
                <w:sz w:val="20"/>
                <w:szCs w:val="20"/>
              </w:rPr>
              <w:t>Implement plan with consistency.  Collect data for four to six weeks using the data collection form identified at the first SBST meeting.</w:t>
            </w:r>
          </w:p>
        </w:tc>
        <w:tc>
          <w:tcPr>
            <w:tcW w:w="1440" w:type="dxa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380" w:type="dxa"/>
            <w:vAlign w:val="center"/>
          </w:tcPr>
          <w:p w:rsidR="002A6069" w:rsidRDefault="002A6069">
            <w:pPr>
              <w:jc w:val="center"/>
            </w:pPr>
          </w:p>
          <w:p w:rsidR="002A6069" w:rsidRDefault="002A6069">
            <w:pPr>
              <w:jc w:val="center"/>
            </w:pPr>
          </w:p>
        </w:tc>
        <w:tc>
          <w:tcPr>
            <w:tcW w:w="51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55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Discuss the boldly outlined parts of ISP-B with all adults involved with the student (e.g., principal, special area teachers, paraprofessionals) who were not able to attend 3rd SBST meeting.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2A6069" w:rsidRDefault="002A6069"/>
        </w:tc>
        <w:tc>
          <w:tcPr>
            <w:tcW w:w="51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55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Implement plan with consistency.  Collect data for four to s</w:t>
            </w:r>
            <w:r>
              <w:rPr>
                <w:sz w:val="20"/>
                <w:szCs w:val="20"/>
              </w:rPr>
              <w:t>ix weeks using the same data collection form identified previously.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2A6069" w:rsidRDefault="002A6069"/>
        </w:tc>
        <w:tc>
          <w:tcPr>
            <w:tcW w:w="510" w:type="dxa"/>
            <w:vAlign w:val="center"/>
          </w:tcPr>
          <w:p w:rsidR="002A6069" w:rsidRDefault="002A6069">
            <w:pPr>
              <w:jc w:val="center"/>
            </w:pPr>
          </w:p>
        </w:tc>
      </w:tr>
      <w:tr w:rsidR="002A6069">
        <w:trPr>
          <w:trHeight w:val="720"/>
        </w:trPr>
        <w:tc>
          <w:tcPr>
            <w:tcW w:w="1255" w:type="dxa"/>
            <w:vMerge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612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A6069" w:rsidRDefault="00925684">
            <w:r>
              <w:rPr>
                <w:sz w:val="20"/>
                <w:szCs w:val="20"/>
              </w:rPr>
              <w:t>Just prior to next SBST meeting, compile data using the same method of visually summarizing the frequency / duration of target and replacement behavior.  This will serve as your Visua</w:t>
            </w:r>
            <w:r>
              <w:rPr>
                <w:sz w:val="20"/>
                <w:szCs w:val="20"/>
              </w:rPr>
              <w:t>l Data Summary.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A6069" w:rsidRDefault="002A6069">
            <w:pPr>
              <w:jc w:val="center"/>
            </w:pPr>
          </w:p>
        </w:tc>
        <w:tc>
          <w:tcPr>
            <w:tcW w:w="138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A6069" w:rsidRDefault="002A6069"/>
        </w:tc>
        <w:tc>
          <w:tcPr>
            <w:tcW w:w="510" w:type="dxa"/>
            <w:vAlign w:val="center"/>
          </w:tcPr>
          <w:p w:rsidR="002A6069" w:rsidRDefault="002A6069">
            <w:pPr>
              <w:jc w:val="center"/>
            </w:pPr>
          </w:p>
        </w:tc>
      </w:tr>
    </w:tbl>
    <w:p w:rsidR="002A6069" w:rsidRDefault="002A6069"/>
    <w:sectPr w:rsidR="002A6069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008" w:right="720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5684">
      <w:pPr>
        <w:spacing w:after="0" w:line="240" w:lineRule="auto"/>
      </w:pPr>
      <w:r>
        <w:separator/>
      </w:r>
    </w:p>
  </w:endnote>
  <w:endnote w:type="continuationSeparator" w:id="0">
    <w:p w:rsidR="00000000" w:rsidRDefault="0092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69" w:rsidRDefault="00925684">
    <w:pPr>
      <w:tabs>
        <w:tab w:val="left" w:pos="240"/>
        <w:tab w:val="right" w:pos="10224"/>
      </w:tabs>
      <w:spacing w:after="720" w:line="240" w:lineRule="auto"/>
    </w:pPr>
    <w:r>
      <w:rPr>
        <w:b/>
        <w:sz w:val="18"/>
        <w:szCs w:val="18"/>
      </w:rPr>
      <w:t>ISP Planning Worksheet</w:t>
    </w:r>
    <w:r>
      <w:rPr>
        <w:sz w:val="18"/>
        <w:szCs w:val="18"/>
      </w:rPr>
      <w:t xml:space="preserve"> </w:t>
    </w:r>
    <w:r>
      <w:rPr>
        <w:sz w:val="14"/>
        <w:szCs w:val="14"/>
      </w:rPr>
      <w:t>Revised 10/14/2016</w:t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rPr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  <w:p w:rsidR="002A6069" w:rsidRDefault="002A6069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69" w:rsidRDefault="00925684">
    <w:pPr>
      <w:tabs>
        <w:tab w:val="center" w:pos="4680"/>
        <w:tab w:val="right" w:pos="10440"/>
      </w:tabs>
      <w:spacing w:after="720" w:line="240" w:lineRule="auto"/>
      <w:ind w:left="-270" w:right="72"/>
    </w:pPr>
    <w:r>
      <w:rPr>
        <w:b/>
        <w:sz w:val="18"/>
        <w:szCs w:val="18"/>
      </w:rPr>
      <w:t>ISP Planning Worksheet</w:t>
    </w:r>
    <w:r>
      <w:rPr>
        <w:sz w:val="18"/>
        <w:szCs w:val="18"/>
      </w:rPr>
      <w:t xml:space="preserve"> </w:t>
    </w:r>
    <w:r>
      <w:rPr>
        <w:sz w:val="14"/>
        <w:szCs w:val="14"/>
      </w:rPr>
      <w:t>Revised 10/14/2016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</w:t>
    </w:r>
    <w:r>
      <w:fldChar w:fldCharType="begin"/>
    </w:r>
    <w:r>
      <w:instrText>PAGE</w:instrText>
    </w:r>
    <w:r>
      <w:fldChar w:fldCharType="separate"/>
    </w:r>
    <w:r w:rsidR="009417D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417D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5684">
      <w:pPr>
        <w:spacing w:after="0" w:line="240" w:lineRule="auto"/>
      </w:pPr>
      <w:r>
        <w:separator/>
      </w:r>
    </w:p>
  </w:footnote>
  <w:footnote w:type="continuationSeparator" w:id="0">
    <w:p w:rsidR="00000000" w:rsidRDefault="0092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69" w:rsidRDefault="002A6069">
    <w:pPr>
      <w:tabs>
        <w:tab w:val="center" w:pos="4680"/>
        <w:tab w:val="right" w:pos="9360"/>
      </w:tabs>
      <w:spacing w:before="720"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69" w:rsidRDefault="00925684">
    <w:pPr>
      <w:tabs>
        <w:tab w:val="left" w:pos="1680"/>
        <w:tab w:val="right" w:pos="10224"/>
      </w:tabs>
      <w:spacing w:after="0"/>
    </w:pPr>
    <w:r>
      <w:rPr>
        <w:noProof/>
      </w:rPr>
      <w:drawing>
        <wp:anchor distT="0" distB="0" distL="114300" distR="114300" simplePos="0" relativeHeight="251658752" behindDoc="0" locked="0" layoutInCell="0" hidden="0" allowOverlap="1">
          <wp:simplePos x="0" y="0"/>
          <wp:positionH relativeFrom="margin">
            <wp:posOffset>635</wp:posOffset>
          </wp:positionH>
          <wp:positionV relativeFrom="paragraph">
            <wp:posOffset>9525</wp:posOffset>
          </wp:positionV>
          <wp:extent cx="600075" cy="56451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6069" w:rsidRDefault="009417D2">
    <w:pPr>
      <w:tabs>
        <w:tab w:val="left" w:pos="1680"/>
        <w:tab w:val="right" w:pos="10224"/>
      </w:tabs>
      <w:spacing w:after="0"/>
    </w:pPr>
    <w:r>
      <w:rPr>
        <w:b/>
        <w:sz w:val="48"/>
        <w:szCs w:val="48"/>
      </w:rPr>
      <w:t xml:space="preserve">            </w:t>
    </w:r>
    <w:r w:rsidR="00925684">
      <w:rPr>
        <w:b/>
        <w:sz w:val="48"/>
        <w:szCs w:val="48"/>
      </w:rPr>
      <w:t>ISP-B Development Checklist</w:t>
    </w:r>
  </w:p>
  <w:p w:rsidR="002A6069" w:rsidRDefault="00925684">
    <w:pPr>
      <w:tabs>
        <w:tab w:val="left" w:pos="1680"/>
        <w:tab w:val="right" w:pos="10224"/>
      </w:tabs>
      <w:ind w:left="720"/>
      <w:jc w:val="right"/>
    </w:pPr>
    <w:r>
      <w:rPr>
        <w:b/>
        <w:sz w:val="24"/>
        <w:szCs w:val="24"/>
      </w:rPr>
      <w:t xml:space="preserve">Student: </w:t>
    </w:r>
    <w:r>
      <w:rPr>
        <w:sz w:val="24"/>
        <w:szCs w:val="24"/>
      </w:rPr>
      <w:t xml:space="preserve">_________________________, </w:t>
    </w:r>
    <w:r>
      <w:rPr>
        <w:b/>
        <w:sz w:val="24"/>
        <w:szCs w:val="24"/>
      </w:rPr>
      <w:t xml:space="preserve">ID# </w:t>
    </w:r>
    <w:r>
      <w:rPr>
        <w:sz w:val="24"/>
        <w:szCs w:val="24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69"/>
    <w:rsid w:val="002A6069"/>
    <w:rsid w:val="00925684"/>
    <w:rsid w:val="0094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D59F3-2B26-43E0-8CBB-6CB716C7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D2"/>
  </w:style>
  <w:style w:type="paragraph" w:styleId="Footer">
    <w:name w:val="footer"/>
    <w:basedOn w:val="Normal"/>
    <w:link w:val="FooterChar"/>
    <w:uiPriority w:val="99"/>
    <w:unhideWhenUsed/>
    <w:rsid w:val="0094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dbehaviormatters.weebly.com/isp-b-template.html" TargetMode="External"/><Relationship Id="rId13" Type="http://schemas.openxmlformats.org/officeDocument/2006/relationships/hyperlink" Target="http://scsdbehaviormatters.weebly.com/progress-monitoring-report.html" TargetMode="External"/><Relationship Id="rId18" Type="http://schemas.openxmlformats.org/officeDocument/2006/relationships/hyperlink" Target="http://scsdbehaviormatters.weebly.com/progress-monitoring-report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scsdbehaviormatters.weebly.com/thinking-skills-reference-sheet.html" TargetMode="External"/><Relationship Id="rId12" Type="http://schemas.openxmlformats.org/officeDocument/2006/relationships/hyperlink" Target="http://scsdbehaviormatters.weebly.com/progress-monitoring-report.html" TargetMode="External"/><Relationship Id="rId17" Type="http://schemas.openxmlformats.org/officeDocument/2006/relationships/hyperlink" Target="http://scsdbehaviormatters.weebly.com/progress-monitoring-repor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sdbehaviormatters.weebly.com/progress-monitoring-report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scsdbehaviormatters.weebly.com/daily-behavior-tracking-sheet.html" TargetMode="External"/><Relationship Id="rId11" Type="http://schemas.openxmlformats.org/officeDocument/2006/relationships/hyperlink" Target="http://scsdbehaviormatters.weebly.com/progress-monitoring-spreadsheet-customizable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csdbehaviormatters.weebly.com/progress-monitoring-repor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sdbehaviormatters.weebly.com/isp-b-template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csdbehaviormatters.weebly.com/scsd-template--tool-library.html" TargetMode="External"/><Relationship Id="rId14" Type="http://schemas.openxmlformats.org/officeDocument/2006/relationships/hyperlink" Target="http://scsdbehaviormatters.weebly.com/progress-monitoring-report.htm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Jacquelyn</dc:creator>
  <cp:lastModifiedBy>O'Connor, Jacquelyn</cp:lastModifiedBy>
  <cp:revision>2</cp:revision>
  <dcterms:created xsi:type="dcterms:W3CDTF">2016-10-14T13:28:00Z</dcterms:created>
  <dcterms:modified xsi:type="dcterms:W3CDTF">2016-10-14T13:28:00Z</dcterms:modified>
</cp:coreProperties>
</file>